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DA" w:rsidRPr="008401B2" w:rsidRDefault="00FA3DDA" w:rsidP="008401B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401B2">
        <w:rPr>
          <w:rFonts w:ascii="Times New Roman" w:hAnsi="Times New Roman" w:cs="Times New Roman"/>
          <w:b/>
          <w:bCs/>
          <w:sz w:val="24"/>
          <w:szCs w:val="24"/>
        </w:rPr>
        <w:t>Внешний аудит</w:t>
      </w:r>
    </w:p>
    <w:p w:rsidR="006E07DE" w:rsidRDefault="002C1C3B" w:rsidP="008401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C3B">
        <w:rPr>
          <w:rFonts w:ascii="Times New Roman" w:hAnsi="Times New Roman" w:cs="Times New Roman"/>
          <w:sz w:val="24"/>
          <w:szCs w:val="24"/>
          <w:lang w:eastAsia="ru-RU"/>
        </w:rPr>
        <w:t>Внешний аудит Компании пров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одится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ТОО «КПМГ Аудит»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д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>оговор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>долгосрочны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закупка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услуг 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аудита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финансовой отчетности на 2019-2021 годы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ному</w:t>
      </w:r>
      <w:r w:rsidRPr="002C1C3B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E3B54" w:rsidRPr="00EE3B54">
        <w:rPr>
          <w:rFonts w:ascii="Times New Roman" w:hAnsi="Times New Roman" w:cs="Times New Roman"/>
          <w:sz w:val="24"/>
          <w:szCs w:val="24"/>
          <w:lang w:eastAsia="ru-RU"/>
        </w:rPr>
        <w:t>Правилами осуществления закупок товаров, работ и услуг акционерным обществом «Национальный управляющий холдинг «</w:t>
      </w:r>
      <w:proofErr w:type="spellStart"/>
      <w:r w:rsidR="00EE3B54" w:rsidRPr="00EE3B54">
        <w:rPr>
          <w:rFonts w:ascii="Times New Roman" w:hAnsi="Times New Roman" w:cs="Times New Roman"/>
          <w:sz w:val="24"/>
          <w:szCs w:val="24"/>
          <w:lang w:eastAsia="ru-RU"/>
        </w:rPr>
        <w:t>Байтерек</w:t>
      </w:r>
      <w:proofErr w:type="spellEnd"/>
      <w:r w:rsidR="00EE3B54" w:rsidRPr="00EE3B54">
        <w:rPr>
          <w:rFonts w:ascii="Times New Roman" w:hAnsi="Times New Roman" w:cs="Times New Roman"/>
          <w:sz w:val="24"/>
          <w:szCs w:val="24"/>
          <w:lang w:eastAsia="ru-RU"/>
        </w:rPr>
        <w:t>» и организациями, пятьдесят и более процентов голосующих акций (долей участия) которых прямо или косвенно принадлежат акционерному обществу «Национальный управляющий холдинг «</w:t>
      </w:r>
      <w:proofErr w:type="spellStart"/>
      <w:r w:rsidR="00EE3B54" w:rsidRPr="00EE3B54">
        <w:rPr>
          <w:rFonts w:ascii="Times New Roman" w:hAnsi="Times New Roman" w:cs="Times New Roman"/>
          <w:sz w:val="24"/>
          <w:szCs w:val="24"/>
          <w:lang w:eastAsia="ru-RU"/>
        </w:rPr>
        <w:t>Байтерек</w:t>
      </w:r>
      <w:proofErr w:type="spellEnd"/>
      <w:r w:rsidR="00EE3B54" w:rsidRPr="00EE3B54">
        <w:rPr>
          <w:rFonts w:ascii="Times New Roman" w:hAnsi="Times New Roman" w:cs="Times New Roman"/>
          <w:sz w:val="24"/>
          <w:szCs w:val="24"/>
          <w:lang w:eastAsia="ru-RU"/>
        </w:rPr>
        <w:t>» на праве собственности или д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 xml:space="preserve">оверительного управления, утвержденных Советом директоров от 25 сентября 2013 года (протокол №3) и Правилами осуществления закупок товаров, работ и услуг акционерным обществом «Ипотечная организация «Казахстанская Ипотечная Компания», от 29 ноября 2013 года (протокол №14), </w:t>
      </w:r>
      <w:r w:rsidR="00797376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протокола об итогах открытого тендера от 20 февраля 2019 года №9897 и согласно 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  <w:r w:rsidR="0079737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3B54">
        <w:rPr>
          <w:rFonts w:ascii="Times New Roman" w:hAnsi="Times New Roman" w:cs="Times New Roman"/>
          <w:sz w:val="24"/>
          <w:szCs w:val="24"/>
          <w:lang w:eastAsia="ru-RU"/>
        </w:rPr>
        <w:t>о закупках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от 14 марта 2019 года</w:t>
      </w:r>
      <w:r w:rsidR="008401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01B2" w:rsidRPr="006E07DE">
        <w:rPr>
          <w:rFonts w:ascii="Times New Roman" w:hAnsi="Times New Roman" w:cs="Times New Roman"/>
          <w:sz w:val="24"/>
          <w:szCs w:val="24"/>
          <w:lang w:eastAsia="ru-RU"/>
        </w:rPr>
        <w:t>№ 105</w:t>
      </w:r>
      <w:r w:rsidR="008401B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E07DE" w:rsidRPr="006E07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401B2" w:rsidRPr="008401B2" w:rsidRDefault="008401B2" w:rsidP="008401B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1B2">
        <w:rPr>
          <w:rFonts w:ascii="Times New Roman" w:hAnsi="Times New Roman" w:cs="Times New Roman"/>
          <w:b/>
          <w:bCs/>
          <w:sz w:val="24"/>
          <w:szCs w:val="24"/>
        </w:rPr>
        <w:t>Описание Услуг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 xml:space="preserve">Поставщик оказывает аудиторские услуги, включая Сопутствующие услуги, по проведению аудита консолидированной и/или отдельной финансовой отчетности Заказчика, подготовленных в соответствии с МСФО и в </w:t>
      </w:r>
      <w:r w:rsidRPr="008401B2">
        <w:rPr>
          <w:rFonts w:ascii="Times New Roman" w:hAnsi="Times New Roman" w:cs="Times New Roman"/>
          <w:sz w:val="24"/>
          <w:szCs w:val="24"/>
        </w:rPr>
        <w:t>соответствии с перечнем, формами, утвержденными нормативным актом уполномоченного государственного органа Республики Казахстан в соответствии с Законом Республики Казахстан №234-</w:t>
      </w:r>
      <w:r w:rsidRPr="008401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01B2">
        <w:rPr>
          <w:rFonts w:ascii="Times New Roman" w:hAnsi="Times New Roman" w:cs="Times New Roman"/>
          <w:sz w:val="24"/>
          <w:szCs w:val="24"/>
        </w:rPr>
        <w:t xml:space="preserve"> «О бухгалтерском учете и финансовой отчетности» </w:t>
      </w:r>
      <w:r w:rsidRPr="008401B2">
        <w:rPr>
          <w:rFonts w:ascii="Times New Roman" w:hAnsi="Times New Roman" w:cs="Times New Roman"/>
          <w:bCs/>
          <w:sz w:val="24"/>
          <w:szCs w:val="24"/>
        </w:rPr>
        <w:t xml:space="preserve">по состоянию на и за годы, заканчивающиеся 31 декабря </w:t>
      </w:r>
      <w:r w:rsidRPr="008401B2">
        <w:rPr>
          <w:rFonts w:ascii="Times New Roman" w:hAnsi="Times New Roman" w:cs="Times New Roman"/>
          <w:sz w:val="24"/>
          <w:szCs w:val="24"/>
        </w:rPr>
        <w:t>каждого финансового года в период с 2019 года по 2021 год</w:t>
      </w:r>
      <w:r w:rsidRPr="008401B2">
        <w:rPr>
          <w:rFonts w:ascii="Times New Roman" w:hAnsi="Times New Roman" w:cs="Times New Roman"/>
          <w:bCs/>
          <w:sz w:val="24"/>
          <w:szCs w:val="24"/>
        </w:rPr>
        <w:t>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Поставщик</w:t>
      </w:r>
      <w:r w:rsidRPr="008401B2">
        <w:rPr>
          <w:rFonts w:ascii="Times New Roman" w:hAnsi="Times New Roman" w:cs="Times New Roman"/>
          <w:sz w:val="24"/>
          <w:szCs w:val="24"/>
        </w:rPr>
        <w:t xml:space="preserve"> при оказании Услуг должен руководствоваться </w:t>
      </w:r>
      <w:r w:rsidRPr="008401B2">
        <w:rPr>
          <w:rFonts w:ascii="Times New Roman" w:hAnsi="Times New Roman" w:cs="Times New Roman"/>
          <w:bCs/>
          <w:sz w:val="24"/>
          <w:szCs w:val="24"/>
        </w:rPr>
        <w:t>Законом Республики Казахстан № 304-</w:t>
      </w:r>
      <w:r w:rsidRPr="008401B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8401B2">
        <w:rPr>
          <w:rFonts w:ascii="Times New Roman" w:hAnsi="Times New Roman" w:cs="Times New Roman"/>
          <w:bCs/>
          <w:sz w:val="24"/>
          <w:szCs w:val="24"/>
        </w:rPr>
        <w:t xml:space="preserve"> «Об аудиторской деятельности».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Услуги аудита финансовой отчетности на 2019-2021 годы, оказываемые в соответствии с МСА, предусматривают: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 xml:space="preserve">Полугодовой обзор </w:t>
      </w:r>
      <w:r w:rsidRPr="008401B2">
        <w:rPr>
          <w:rFonts w:ascii="Times New Roman" w:hAnsi="Times New Roman" w:cs="Times New Roman"/>
          <w:b/>
          <w:sz w:val="24"/>
          <w:szCs w:val="24"/>
        </w:rPr>
        <w:t>финансовой отчетности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, 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обзора сокращенной отдельной и/или консолидированной финансовой отчетности за период с 1 января по 30 июня каждого финансового года в период с 2019 года по 2021 год, в соответствии с ISRE 2410, подготовленного в соответствии с МСБУ № 34, с предоставлением отчета по обзору;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обзора отдельной и/или консолидированной финансовой отчетности на 30 июня каждого финансового года в период с 2019 года по 2021 год (в случае наличия требования о его проведении), составленной для целей консолидации в формате, утвержденном протоколом заседания Правления АО «Национальный управляющий холдинг «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>»;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01B2">
        <w:rPr>
          <w:rFonts w:ascii="Times New Roman" w:hAnsi="Times New Roman" w:cs="Times New Roman"/>
          <w:b/>
          <w:sz w:val="24"/>
          <w:szCs w:val="24"/>
        </w:rPr>
        <w:t xml:space="preserve">Промежуточный аудит финансовой отчетности за 9 месяцев,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промежуточных аудиторских процедур по итогам за период с 1 января по 30 сентября каждого финансового года в период с 2019 года по 2021 год по отдельной и/</w:t>
      </w:r>
      <w:r w:rsidRPr="008401B2">
        <w:rPr>
          <w:rFonts w:ascii="Times New Roman" w:hAnsi="Times New Roman" w:cs="Times New Roman"/>
          <w:sz w:val="24"/>
          <w:szCs w:val="24"/>
          <w:lang w:val="kk-KZ"/>
        </w:rPr>
        <w:t>или</w:t>
      </w:r>
      <w:r w:rsidRPr="008401B2">
        <w:rPr>
          <w:rFonts w:ascii="Times New Roman" w:hAnsi="Times New Roman" w:cs="Times New Roman"/>
          <w:sz w:val="24"/>
          <w:szCs w:val="24"/>
        </w:rPr>
        <w:t xml:space="preserve"> консолидированной финансовой отчетности Заказчика; 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401B2">
        <w:rPr>
          <w:rFonts w:ascii="Times New Roman" w:hAnsi="Times New Roman" w:cs="Times New Roman"/>
          <w:b/>
          <w:sz w:val="24"/>
          <w:szCs w:val="24"/>
        </w:rPr>
        <w:t xml:space="preserve">Аудит годовой финансовой отчетности, </w:t>
      </w:r>
      <w:r w:rsidRPr="008401B2">
        <w:rPr>
          <w:rFonts w:ascii="Times New Roman" w:hAnsi="Times New Roman" w:cs="Times New Roman"/>
          <w:b/>
          <w:bCs/>
          <w:sz w:val="24"/>
          <w:szCs w:val="24"/>
        </w:rPr>
        <w:t>состоящий из: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аудита годовой отдельной и/или консолидированной финансовой отчетности Заказчика каждого финансового года в период с 2019 года по 2021 год с целью выражения независимого мнения о достоверности составления финансовой отчетности в соответствии с МСФО во всех существенных аспектах;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401B2">
        <w:rPr>
          <w:rFonts w:ascii="Times New Roman" w:hAnsi="Times New Roman" w:cs="Times New Roman"/>
          <w:sz w:val="24"/>
          <w:szCs w:val="24"/>
        </w:rPr>
        <w:t xml:space="preserve">проведение аудита годовой отдельной и/или консолидированной финансовой отчетности Заказчика по состоянию на и за год, заканчивающийся 31 декабря каждого финансового года в период с 2019 года по 2021 год, подготовленным в соответствии с перечнем, формами, утвержденными нормативным актом уполномоченного государственного органа </w:t>
      </w:r>
      <w:r w:rsidRPr="008401B2">
        <w:rPr>
          <w:rFonts w:ascii="Times New Roman" w:hAnsi="Times New Roman" w:cs="Times New Roman"/>
          <w:sz w:val="24"/>
          <w:szCs w:val="24"/>
        </w:rPr>
        <w:lastRenderedPageBreak/>
        <w:t>Республики Казахстан согласно Закону Республики Казахстан №234-</w:t>
      </w:r>
      <w:r w:rsidRPr="008401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01B2">
        <w:rPr>
          <w:rFonts w:ascii="Times New Roman" w:hAnsi="Times New Roman" w:cs="Times New Roman"/>
          <w:sz w:val="24"/>
          <w:szCs w:val="24"/>
        </w:rPr>
        <w:t xml:space="preserve"> «О бухгалтерском учете и финансовой отчетности» (данный пункт предоставляется по требованию Заказчика);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401B2">
        <w:rPr>
          <w:rFonts w:ascii="Times New Roman" w:hAnsi="Times New Roman" w:cs="Times New Roman"/>
          <w:sz w:val="24"/>
          <w:szCs w:val="24"/>
        </w:rPr>
        <w:t>проведение аудита отдельной и/или консолидированной финансовой отчетности на 31 декабря каждого финансового года в период с 2019 года по 2021 год, составленной для целей консолидации в формате, утвержденном протоколом заседания Правления АО «Национальный управляющий холдинг «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>»;</w:t>
      </w:r>
    </w:p>
    <w:p w:rsidR="008401B2" w:rsidRPr="008401B2" w:rsidRDefault="008401B2" w:rsidP="008401B2">
      <w:pPr>
        <w:tabs>
          <w:tab w:val="left" w:pos="13"/>
        </w:tabs>
        <w:spacing w:after="0" w:line="240" w:lineRule="auto"/>
        <w:ind w:right="-15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услуг.</w:t>
      </w:r>
    </w:p>
    <w:p w:rsidR="008401B2" w:rsidRPr="008401B2" w:rsidRDefault="008401B2" w:rsidP="008401B2">
      <w:pPr>
        <w:tabs>
          <w:tab w:val="left" w:pos="13"/>
        </w:tabs>
        <w:spacing w:after="0"/>
        <w:ind w:right="-1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2">
        <w:rPr>
          <w:rFonts w:ascii="Times New Roman" w:hAnsi="Times New Roman" w:cs="Times New Roman"/>
          <w:b/>
          <w:sz w:val="24"/>
          <w:szCs w:val="24"/>
        </w:rPr>
        <w:t>Сопутствующие услуги.</w:t>
      </w:r>
    </w:p>
    <w:p w:rsidR="008401B2" w:rsidRPr="008401B2" w:rsidRDefault="008401B2" w:rsidP="008401B2">
      <w:pPr>
        <w:tabs>
          <w:tab w:val="left" w:pos="13"/>
        </w:tabs>
        <w:spacing w:after="0"/>
        <w:ind w:right="-1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Оказание Сопутствующих услуг</w:t>
      </w:r>
      <w:r w:rsidRPr="008401B2">
        <w:rPr>
          <w:rFonts w:ascii="Times New Roman" w:hAnsi="Times New Roman" w:cs="Times New Roman"/>
          <w:sz w:val="24"/>
          <w:szCs w:val="24"/>
          <w:lang w:val="kk-KZ"/>
        </w:rPr>
        <w:t xml:space="preserve"> (без предоставления отчета)</w:t>
      </w:r>
      <w:r w:rsidRPr="008401B2">
        <w:rPr>
          <w:rFonts w:ascii="Times New Roman" w:hAnsi="Times New Roman" w:cs="Times New Roman"/>
          <w:sz w:val="24"/>
          <w:szCs w:val="24"/>
        </w:rPr>
        <w:t>, перечисленных ниже, в рамках проведения аудиторской проверки, стоимость которых включена в общую стоимость Услуг с предоставлением соответствующих рекомендаций по ним в письмах руководству Заказчика подразумевает: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01B2">
        <w:rPr>
          <w:rFonts w:ascii="Times New Roman" w:hAnsi="Times New Roman" w:cs="Times New Roman"/>
          <w:sz w:val="24"/>
          <w:szCs w:val="24"/>
        </w:rPr>
        <w:t>предоставление рекомендаций по процессу подготовки финансовой отчетности касательно улучшения качества, а также сокращения сроков подготовки финансовой отчетности;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предоставление рекомендаций по методологии и результатам оценки основных средств (в случае ее проведения) в соответствии с учетной политикой Заказчика;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 xml:space="preserve">- предоставление рекомендаций по методологии и результатам оценки справедливой стоимости приобретения предприятий (в случае, если приобретения имели место); 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 презентация результатов аудита финансового года Заказчика в период с 2019 по 2021 для членов Совета директоров/Комитета по аудиту и руководства Заказчика, по запросу любого из указанных органов;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представление предложений по усовершенствованию раскрытий в примечаниях к финансовой отчетности Заказчика;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проведение консультаций по бухгалтерскому и налоговому учету в ходе аудита без предоставления отчетов по консультациям;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 xml:space="preserve">- оценку ведения бухгалтерского учета и составления финансовой отчетности (в том числе, переоценку активов и обязательств, и по требованию Заказчика методов и процедур проведения инвентаризации активов и обязательств, включая сверку дебиторской и кредиторской задолженности с поставщиками товаров, работ и услуг); 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оценка адекватности системы внутреннего контроля и управления рисками Заказчика по вопросам, связанным с ведением бухгалтерского учета и составлением финансовой отчетности;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01B2">
        <w:rPr>
          <w:rFonts w:ascii="Times New Roman" w:hAnsi="Times New Roman" w:cs="Times New Roman"/>
          <w:sz w:val="24"/>
          <w:szCs w:val="24"/>
        </w:rPr>
        <w:t xml:space="preserve">оценка состояния программно-технического оснащения и надежности автоматизированных систем обработки информации; 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оценка деятельности службы внутреннего аудита Заказчика по вопросам, связанным с оценкой системы внутреннего контроля при ведении бухгалтерского учета и составления финансовой отчетности;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анализ организации контроля за деятельностью аффилированных лиц Заказчика по вопросам, связанным с ведением бухгалтерского учета и составления финансовой отчетности;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оценка соответствия деятельности Заказчика требованиям законодательства Республики Казахстан в области бухгалтерского учета и финансовой отчетности;</w:t>
      </w:r>
    </w:p>
    <w:p w:rsidR="008401B2" w:rsidRPr="008401B2" w:rsidRDefault="008401B2" w:rsidP="008401B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анализ методологии актуарных расчетов, использованных при составлении финансовой отчетности (в случае наличия требования о его проведении).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2">
        <w:rPr>
          <w:rFonts w:ascii="Times New Roman" w:hAnsi="Times New Roman" w:cs="Times New Roman"/>
          <w:b/>
          <w:sz w:val="24"/>
          <w:szCs w:val="24"/>
        </w:rPr>
        <w:t xml:space="preserve">Прочие </w:t>
      </w:r>
      <w:r w:rsidRPr="008401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дополнительные </w:t>
      </w:r>
      <w:r w:rsidRPr="008401B2">
        <w:rPr>
          <w:rFonts w:ascii="Times New Roman" w:hAnsi="Times New Roman" w:cs="Times New Roman"/>
          <w:b/>
          <w:sz w:val="24"/>
          <w:szCs w:val="24"/>
        </w:rPr>
        <w:t>условия.</w:t>
      </w:r>
    </w:p>
    <w:p w:rsidR="008401B2" w:rsidRPr="008401B2" w:rsidRDefault="008401B2" w:rsidP="008401B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2">
        <w:rPr>
          <w:rFonts w:ascii="Times New Roman" w:hAnsi="Times New Roman" w:cs="Times New Roman"/>
          <w:bCs/>
          <w:sz w:val="24"/>
          <w:szCs w:val="24"/>
        </w:rPr>
        <w:t>Поставщик при оказании услуг должен соблюдать следующее: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401B2">
        <w:rPr>
          <w:rFonts w:ascii="Times New Roman" w:hAnsi="Times New Roman" w:cs="Times New Roman"/>
          <w:sz w:val="24"/>
          <w:szCs w:val="24"/>
        </w:rPr>
        <w:t>Поставщик при необходимости выезжает по месту нахождения аффилированных лиц Заказчика для проведения аналитических аудиторских процедур, необходимых для выпуска отдельной и/или консолидированной финансовой отчетности;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 xml:space="preserve">- в целях соблюдения норм 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положенности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 xml:space="preserve"> по площадям офисных помещений Заказчик не предоставляет офисные помещения специалистам проектной команды Поставщика. Размещение и оснащение рабочего места необходимыми ресурсами (мебель, интернет, связь, компьютерное оборудование и </w:t>
      </w:r>
      <w:proofErr w:type="spellStart"/>
      <w:r w:rsidRPr="008401B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401B2">
        <w:rPr>
          <w:rFonts w:ascii="Times New Roman" w:hAnsi="Times New Roman" w:cs="Times New Roman"/>
          <w:sz w:val="24"/>
          <w:szCs w:val="24"/>
        </w:rPr>
        <w:t>) специалистов Поставщик должен обеспечить за счет собственных средств;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Поставщик проведет оценку системы внутреннего контроля и выявит основные недостатки для целей проведения аудита;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Аудит будет проводиться в соответствии с законодательством Республики Казахстан и МСА, включая принцип материальности и допустимой ошибки по отдельным счетам;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Заказчику будет немедленно сообщено о случаях неполного предоставления Поставщику требуемой информации. Вся информация о выявленных материальных ошибках будет предоставлена руководству Заказчика;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Аудиторские процедуры будут включать в себя оценку состояния бухгалтерского и налогового учета Заказчика, что и определит объем применяемой Аудитором выборки в ходе оказания Услуг;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Поставщик будет осуществлять свою работу по оказанию Услуг на основании документов, предоставленных Заказчиком;</w:t>
      </w:r>
    </w:p>
    <w:p w:rsidR="008401B2" w:rsidRPr="008401B2" w:rsidRDefault="008401B2" w:rsidP="00840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</w:rPr>
        <w:t>- Результатами оказания Услуг могут быть не только аудиторские отчеты, письма-руководству, но и письменная информация (отчеты и иные документы, а также консультации, как устные, так и письменные), которые совместно именуются «Результаты Сопутствующих услуг».</w:t>
      </w:r>
    </w:p>
    <w:p w:rsidR="00FA3DDA" w:rsidRPr="009919DB" w:rsidRDefault="00FA3DDA" w:rsidP="008401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01B2">
        <w:rPr>
          <w:rFonts w:ascii="Times New Roman" w:hAnsi="Times New Roman" w:cs="Times New Roman"/>
          <w:sz w:val="24"/>
          <w:szCs w:val="24"/>
          <w:lang w:eastAsia="ru-RU"/>
        </w:rPr>
        <w:t>Общая Стоимость Договора составляет сумму в размере 80 600 000 (восемьдесят миллионов</w:t>
      </w:r>
      <w:r w:rsidRPr="009919DB">
        <w:rPr>
          <w:rFonts w:ascii="Times New Roman" w:hAnsi="Times New Roman"/>
          <w:sz w:val="24"/>
          <w:szCs w:val="24"/>
          <w:lang w:eastAsia="ru-RU"/>
        </w:rPr>
        <w:t xml:space="preserve"> шестьсот тысяч) тенге 00 </w:t>
      </w:r>
      <w:proofErr w:type="spellStart"/>
      <w:r w:rsidRPr="009919DB">
        <w:rPr>
          <w:rFonts w:ascii="Times New Roman" w:hAnsi="Times New Roman"/>
          <w:sz w:val="24"/>
          <w:szCs w:val="24"/>
          <w:lang w:eastAsia="ru-RU"/>
        </w:rPr>
        <w:t>тиын</w:t>
      </w:r>
      <w:proofErr w:type="spellEnd"/>
      <w:r w:rsidRPr="009919DB">
        <w:rPr>
          <w:rFonts w:ascii="Times New Roman" w:hAnsi="Times New Roman"/>
          <w:sz w:val="24"/>
          <w:szCs w:val="24"/>
          <w:lang w:eastAsia="ru-RU"/>
        </w:rPr>
        <w:t>, в том числе сумма НДС 8 635 714,29 тенге, что по годам составит:</w:t>
      </w:r>
      <w:r w:rsidRPr="009919DB">
        <w:rPr>
          <w:rFonts w:ascii="Times New Roman" w:hAnsi="Times New Roman"/>
          <w:sz w:val="24"/>
          <w:szCs w:val="24"/>
          <w:lang w:eastAsia="ru-RU"/>
        </w:rPr>
        <w:br/>
        <w:t xml:space="preserve">- </w:t>
      </w:r>
      <w:r w:rsidRPr="009919DB">
        <w:rPr>
          <w:rFonts w:ascii="Times New Roman" w:hAnsi="Times New Roman"/>
          <w:sz w:val="24"/>
          <w:szCs w:val="24"/>
        </w:rPr>
        <w:t>на 2019 год – 25 000 000 тенге, в том числе сумма НДС – 2 678 571,43 тенге;</w:t>
      </w:r>
    </w:p>
    <w:p w:rsidR="00FA3DDA" w:rsidRPr="009919DB" w:rsidRDefault="00FA3DDA" w:rsidP="00991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9DB">
        <w:rPr>
          <w:rFonts w:ascii="Times New Roman" w:hAnsi="Times New Roman"/>
          <w:sz w:val="24"/>
          <w:szCs w:val="24"/>
        </w:rPr>
        <w:t>- на 2020 год – 26 800 000 тенге, в том числе сумма НДС – 2 871 428,57 тенге;</w:t>
      </w:r>
    </w:p>
    <w:p w:rsidR="00FA3DDA" w:rsidRPr="009919DB" w:rsidRDefault="00FA3DDA" w:rsidP="00991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9DB">
        <w:rPr>
          <w:rFonts w:ascii="Times New Roman" w:hAnsi="Times New Roman"/>
          <w:sz w:val="24"/>
          <w:szCs w:val="24"/>
        </w:rPr>
        <w:t>- на 2021 год – 28 800 000 тенге, в том числе сумма НДС – 3 085 714,29 тенге.</w:t>
      </w:r>
    </w:p>
    <w:bookmarkEnd w:id="0"/>
    <w:p w:rsidR="00702F66" w:rsidRPr="00FA3DDA" w:rsidRDefault="005E58B6" w:rsidP="009919D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2F66" w:rsidRPr="00FA3DDA" w:rsidSect="00991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5E6"/>
    <w:multiLevelType w:val="hybridMultilevel"/>
    <w:tmpl w:val="59824F24"/>
    <w:lvl w:ilvl="0" w:tplc="0D92E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51A25"/>
    <w:multiLevelType w:val="hybridMultilevel"/>
    <w:tmpl w:val="6FD4A038"/>
    <w:lvl w:ilvl="0" w:tplc="93884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591"/>
    <w:multiLevelType w:val="hybridMultilevel"/>
    <w:tmpl w:val="13A4F7B4"/>
    <w:lvl w:ilvl="0" w:tplc="E9CA72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6E4A5E"/>
    <w:multiLevelType w:val="hybridMultilevel"/>
    <w:tmpl w:val="67ACBB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4864D9"/>
    <w:multiLevelType w:val="hybridMultilevel"/>
    <w:tmpl w:val="56A8F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8001D"/>
    <w:multiLevelType w:val="hybridMultilevel"/>
    <w:tmpl w:val="871EFD3E"/>
    <w:lvl w:ilvl="0" w:tplc="CEC4C8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8454101"/>
    <w:multiLevelType w:val="hybridMultilevel"/>
    <w:tmpl w:val="67ACBB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DA"/>
    <w:rsid w:val="0012420E"/>
    <w:rsid w:val="001A5E96"/>
    <w:rsid w:val="002678FA"/>
    <w:rsid w:val="002C1C3B"/>
    <w:rsid w:val="002C306F"/>
    <w:rsid w:val="00355517"/>
    <w:rsid w:val="00476662"/>
    <w:rsid w:val="0059044C"/>
    <w:rsid w:val="005E58B6"/>
    <w:rsid w:val="006768B8"/>
    <w:rsid w:val="006E07DE"/>
    <w:rsid w:val="00724CFD"/>
    <w:rsid w:val="00797376"/>
    <w:rsid w:val="008401B2"/>
    <w:rsid w:val="00914DB4"/>
    <w:rsid w:val="009919DB"/>
    <w:rsid w:val="00AB5879"/>
    <w:rsid w:val="00C422D2"/>
    <w:rsid w:val="00C60DD1"/>
    <w:rsid w:val="00EE3B54"/>
    <w:rsid w:val="00F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613E3-094C-4EB2-80D3-46708848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D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DDA"/>
    <w:rPr>
      <w:b/>
      <w:bCs/>
    </w:rPr>
  </w:style>
  <w:style w:type="paragraph" w:styleId="a5">
    <w:name w:val="List Paragraph"/>
    <w:aliases w:val="маркированный,Elenco Normale,Абзац с отступом,strich,2nd Tier Header,List Paragraph"/>
    <w:basedOn w:val="a"/>
    <w:link w:val="a6"/>
    <w:uiPriority w:val="34"/>
    <w:qFormat/>
    <w:rsid w:val="00FA3DD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6">
    <w:name w:val="Абзац списка Знак"/>
    <w:aliases w:val="маркированный Знак,Elenco Normale Знак,Абзац с отступом Знак,strich Знак,2nd Tier Header Знак,List Paragraph Знак"/>
    <w:link w:val="a5"/>
    <w:uiPriority w:val="34"/>
    <w:locked/>
    <w:rsid w:val="00FA3DDA"/>
    <w:rPr>
      <w:rFonts w:ascii="Calibri" w:eastAsia="Times New Roman" w:hAnsi="Calibri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9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558">
              <w:marLeft w:val="-225"/>
              <w:marRight w:val="-225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Абдираман К. Гульназ</dc:creator>
  <cp:lastModifiedBy>Пигуль Евгения</cp:lastModifiedBy>
  <cp:revision>2</cp:revision>
  <cp:lastPrinted>2019-05-23T04:23:00Z</cp:lastPrinted>
  <dcterms:created xsi:type="dcterms:W3CDTF">2019-05-29T11:26:00Z</dcterms:created>
  <dcterms:modified xsi:type="dcterms:W3CDTF">2019-05-29T11:26:00Z</dcterms:modified>
</cp:coreProperties>
</file>